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F1" w:rsidRPr="009A64F1" w:rsidRDefault="009A64F1" w:rsidP="009A64F1">
      <w:pPr>
        <w:spacing w:before="100" w:beforeAutospacing="1" w:after="100" w:afterAutospacing="1" w:line="384" w:lineRule="auto"/>
        <w:jc w:val="center"/>
        <w:rPr>
          <w:rFonts w:eastAsia="Times New Roman" w:cs="Arial"/>
          <w:color w:val="666666"/>
          <w:sz w:val="21"/>
          <w:szCs w:val="21"/>
          <w:lang w:val="sr-Latn-RS" w:eastAsia="sl-SI"/>
        </w:rPr>
      </w:pPr>
      <w:bookmarkStart w:id="0" w:name="_GoBack"/>
      <w:bookmarkEnd w:id="0"/>
      <w:r w:rsidRPr="009A64F1">
        <w:rPr>
          <w:rFonts w:eastAsia="Times New Roman" w:cs="Arial"/>
          <w:color w:val="666666"/>
          <w:sz w:val="21"/>
          <w:szCs w:val="21"/>
          <w:lang w:val="sr-Latn-RS" w:eastAsia="sl-SI"/>
        </w:rPr>
        <w:t>Član 1.</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Ovim pravilnikom uređuje se način razvrstavanja stalnih sredstava po grupama i način utvrđivanja amortizacije stalnih sredstava za poreske svrhe.</w:t>
      </w:r>
    </w:p>
    <w:p w:rsidR="009A64F1" w:rsidRPr="009A64F1" w:rsidRDefault="009A64F1" w:rsidP="009A64F1">
      <w:pPr>
        <w:spacing w:before="100" w:beforeAutospacing="1" w:after="100" w:afterAutospacing="1" w:line="384" w:lineRule="auto"/>
        <w:jc w:val="center"/>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Član 2.</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Stalna sredstva koja podležu amortizaciji razvrstavaju se po grupama i stopama amortizacije utvrđenim u članu 10. stav 3. Zakona o porezu na dobit pravnih lica («Službeni glasnik RS», br. br. 25/01, 80/02, 80/02 - dr. zakon, 43/03, 84/04 i 18/10), i to:</w:t>
      </w:r>
    </w:p>
    <w:tbl>
      <w:tblPr>
        <w:tblW w:w="5000" w:type="pct"/>
        <w:jc w:val="center"/>
        <w:tblBorders>
          <w:top w:val="outset" w:sz="6" w:space="0" w:color="auto"/>
          <w:left w:val="single" w:sz="6" w:space="0" w:color="CDD1D4"/>
          <w:bottom w:val="outset" w:sz="6" w:space="0" w:color="auto"/>
          <w:right w:val="outset" w:sz="6" w:space="0" w:color="auto"/>
        </w:tblBorders>
        <w:tblCellMar>
          <w:left w:w="0" w:type="dxa"/>
          <w:right w:w="0" w:type="dxa"/>
        </w:tblCellMar>
        <w:tblLook w:val="04A0" w:firstRow="1" w:lastRow="0" w:firstColumn="1" w:lastColumn="0" w:noHBand="0" w:noVBand="1"/>
      </w:tblPr>
      <w:tblGrid>
        <w:gridCol w:w="891"/>
        <w:gridCol w:w="464"/>
        <w:gridCol w:w="6162"/>
        <w:gridCol w:w="1705"/>
      </w:tblGrid>
      <w:tr w:rsidR="009A64F1" w:rsidRPr="009A64F1" w:rsidTr="009A64F1">
        <w:trPr>
          <w:jc w:val="center"/>
        </w:trPr>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vAlign w:val="cente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Broj grupe</w:t>
            </w:r>
          </w:p>
        </w:tc>
        <w:tc>
          <w:tcPr>
            <w:tcW w:w="0" w:type="auto"/>
            <w:gridSpan w:val="2"/>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vAlign w:val="cente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 xml:space="preserve">Vrsta stalnih </w:t>
            </w:r>
            <w:proofErr w:type="spellStart"/>
            <w:r w:rsidRPr="009A64F1">
              <w:rPr>
                <w:rFonts w:eastAsia="Times New Roman" w:cs="Arial"/>
                <w:color w:val="666666"/>
                <w:sz w:val="21"/>
                <w:szCs w:val="21"/>
                <w:lang w:eastAsia="sl-SI"/>
              </w:rPr>
              <w:t>sredstava</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vAlign w:val="cente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Amortizaciona</w:t>
            </w:r>
            <w:proofErr w:type="spellEnd"/>
            <w:r w:rsidRPr="009A64F1">
              <w:rPr>
                <w:rFonts w:eastAsia="Times New Roman" w:cs="Arial"/>
                <w:color w:val="666666"/>
                <w:sz w:val="21"/>
                <w:szCs w:val="21"/>
                <w:lang w:eastAsia="sl-SI"/>
              </w:rPr>
              <w:t xml:space="preserve"> stopa</w:t>
            </w:r>
          </w:p>
        </w:tc>
      </w:tr>
      <w:tr w:rsidR="009A64F1" w:rsidRPr="009A64F1" w:rsidTr="009A64F1">
        <w:trPr>
          <w:jc w:val="center"/>
        </w:trPr>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1</w:t>
            </w:r>
          </w:p>
        </w:tc>
        <w:tc>
          <w:tcPr>
            <w:tcW w:w="0" w:type="auto"/>
            <w:gridSpan w:val="2"/>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2</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3</w:t>
            </w:r>
          </w:p>
        </w:tc>
      </w:tr>
      <w:tr w:rsidR="009A64F1" w:rsidRPr="009A64F1" w:rsidTr="009A64F1">
        <w:trPr>
          <w:jc w:val="center"/>
        </w:trPr>
        <w:tc>
          <w:tcPr>
            <w:tcW w:w="0" w:type="auto"/>
            <w:vMerge w:val="restart"/>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I </w:t>
            </w:r>
          </w:p>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 </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Asfaltne površine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Avionske piste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3.</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Brane za </w:t>
            </w:r>
            <w:proofErr w:type="spellStart"/>
            <w:r w:rsidRPr="009A64F1">
              <w:rPr>
                <w:rFonts w:eastAsia="Times New Roman" w:cs="Arial"/>
                <w:color w:val="666666"/>
                <w:sz w:val="21"/>
                <w:szCs w:val="21"/>
                <w:lang w:eastAsia="sl-SI"/>
              </w:rPr>
              <w:t>akumulaciju</w:t>
            </w:r>
            <w:proofErr w:type="spellEnd"/>
            <w:r w:rsidRPr="009A64F1">
              <w:rPr>
                <w:rFonts w:eastAsia="Times New Roman" w:cs="Arial"/>
                <w:color w:val="666666"/>
                <w:sz w:val="21"/>
                <w:szCs w:val="21"/>
                <w:lang w:eastAsia="sl-SI"/>
              </w:rPr>
              <w:t xml:space="preserve"> voda</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2,5%</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4.</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Cevi za </w:t>
            </w:r>
            <w:proofErr w:type="spellStart"/>
            <w:r w:rsidRPr="009A64F1">
              <w:rPr>
                <w:rFonts w:eastAsia="Times New Roman" w:cs="Arial"/>
                <w:color w:val="666666"/>
                <w:sz w:val="21"/>
                <w:szCs w:val="21"/>
                <w:lang w:eastAsia="sl-SI"/>
              </w:rPr>
              <w:t>gasovod</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5.</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Dokovi</w:t>
            </w:r>
            <w:proofErr w:type="spellEnd"/>
            <w:r w:rsidRPr="009A64F1">
              <w:rPr>
                <w:rFonts w:eastAsia="Times New Roman" w:cs="Arial"/>
                <w:color w:val="666666"/>
                <w:sz w:val="21"/>
                <w:szCs w:val="21"/>
                <w:lang w:eastAsia="sl-SI"/>
              </w:rPr>
              <w:t xml:space="preserve"> za </w:t>
            </w:r>
            <w:proofErr w:type="spellStart"/>
            <w:r w:rsidRPr="009A64F1">
              <w:rPr>
                <w:rFonts w:eastAsia="Times New Roman" w:cs="Arial"/>
                <w:color w:val="666666"/>
                <w:sz w:val="21"/>
                <w:szCs w:val="21"/>
                <w:lang w:eastAsia="sl-SI"/>
              </w:rPr>
              <w:t>vezivanje</w:t>
            </w:r>
            <w:proofErr w:type="spellEnd"/>
            <w:r w:rsidRPr="009A64F1">
              <w:rPr>
                <w:rFonts w:eastAsia="Times New Roman" w:cs="Arial"/>
                <w:color w:val="666666"/>
                <w:sz w:val="21"/>
                <w:szCs w:val="21"/>
                <w:lang w:eastAsia="sl-SI"/>
              </w:rPr>
              <w:t xml:space="preserve"> brodova</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6.</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Elektrane</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7.</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Električni </w:t>
            </w:r>
            <w:proofErr w:type="spellStart"/>
            <w:r w:rsidRPr="009A64F1">
              <w:rPr>
                <w:rFonts w:eastAsia="Times New Roman" w:cs="Arial"/>
                <w:color w:val="666666"/>
                <w:sz w:val="21"/>
                <w:szCs w:val="21"/>
                <w:lang w:eastAsia="sl-SI"/>
              </w:rPr>
              <w:t>dalekovodi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8.</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Eskalatori</w:t>
            </w:r>
            <w:proofErr w:type="spellEnd"/>
            <w:r w:rsidRPr="009A64F1">
              <w:rPr>
                <w:rFonts w:eastAsia="Times New Roman" w:cs="Arial"/>
                <w:color w:val="666666"/>
                <w:sz w:val="21"/>
                <w:szCs w:val="21"/>
                <w:lang w:eastAsia="sl-SI"/>
              </w:rPr>
              <w:t xml:space="preserve"> - pokretne </w:t>
            </w:r>
            <w:proofErr w:type="spellStart"/>
            <w:r w:rsidRPr="009A64F1">
              <w:rPr>
                <w:rFonts w:eastAsia="Times New Roman" w:cs="Arial"/>
                <w:color w:val="666666"/>
                <w:sz w:val="21"/>
                <w:szCs w:val="21"/>
                <w:lang w:eastAsia="sl-SI"/>
              </w:rPr>
              <w:t>stepenice</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9.</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Hangari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10.</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Lukobrani</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11.</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Marine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12.</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Mostovi</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13.</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Nadvožnjaci</w:t>
            </w:r>
            <w:proofErr w:type="spellEnd"/>
            <w:r w:rsidRPr="009A64F1">
              <w:rPr>
                <w:rFonts w:eastAsia="Times New Roman" w:cs="Arial"/>
                <w:color w:val="666666"/>
                <w:sz w:val="21"/>
                <w:szCs w:val="21"/>
                <w:lang w:eastAsia="sl-SI"/>
              </w:rPr>
              <w:t xml:space="preserve"> i </w:t>
            </w:r>
            <w:proofErr w:type="spellStart"/>
            <w:r w:rsidRPr="009A64F1">
              <w:rPr>
                <w:rFonts w:eastAsia="Times New Roman" w:cs="Arial"/>
                <w:color w:val="666666"/>
                <w:sz w:val="21"/>
                <w:szCs w:val="21"/>
                <w:lang w:eastAsia="sl-SI"/>
              </w:rPr>
              <w:t>vijadukti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14.</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Naftovodi</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15.</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Odvodni i dovodni kanali</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16.</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Parking</w:t>
            </w:r>
            <w:proofErr w:type="spellEnd"/>
            <w:r w:rsidRPr="009A64F1">
              <w:rPr>
                <w:rFonts w:eastAsia="Times New Roman" w:cs="Arial"/>
                <w:color w:val="666666"/>
                <w:sz w:val="21"/>
                <w:szCs w:val="21"/>
                <w:lang w:eastAsia="sl-SI"/>
              </w:rPr>
              <w:t xml:space="preserve"> površine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17.</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Putevi</w:t>
            </w:r>
            <w:proofErr w:type="spellEnd"/>
            <w:r w:rsidRPr="009A64F1">
              <w:rPr>
                <w:rFonts w:eastAsia="Times New Roman" w:cs="Arial"/>
                <w:color w:val="666666"/>
                <w:sz w:val="21"/>
                <w:szCs w:val="21"/>
                <w:lang w:eastAsia="sl-SI"/>
              </w:rPr>
              <w:t xml:space="preserve"> i </w:t>
            </w:r>
            <w:proofErr w:type="spellStart"/>
            <w:r w:rsidRPr="009A64F1">
              <w:rPr>
                <w:rFonts w:eastAsia="Times New Roman" w:cs="Arial"/>
                <w:color w:val="666666"/>
                <w:sz w:val="21"/>
                <w:szCs w:val="21"/>
                <w:lang w:eastAsia="sl-SI"/>
              </w:rPr>
              <w:t>auto-putevi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18.</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Ribnjaci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19.</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Skladišta</w:t>
            </w:r>
            <w:proofErr w:type="spellEnd"/>
            <w:r w:rsidRPr="009A64F1">
              <w:rPr>
                <w:rFonts w:eastAsia="Times New Roman" w:cs="Arial"/>
                <w:color w:val="666666"/>
                <w:sz w:val="21"/>
                <w:szCs w:val="21"/>
                <w:lang w:eastAsia="sl-SI"/>
              </w:rPr>
              <w:t xml:space="preserve"> i </w:t>
            </w:r>
            <w:proofErr w:type="spellStart"/>
            <w:r w:rsidRPr="009A64F1">
              <w:rPr>
                <w:rFonts w:eastAsia="Times New Roman" w:cs="Arial"/>
                <w:color w:val="666666"/>
                <w:sz w:val="21"/>
                <w:szCs w:val="21"/>
                <w:lang w:eastAsia="sl-SI"/>
              </w:rPr>
              <w:t>rezervoari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20.</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Sportski</w:t>
            </w:r>
            <w:proofErr w:type="spellEnd"/>
            <w:r w:rsidRPr="009A64F1">
              <w:rPr>
                <w:rFonts w:eastAsia="Times New Roman" w:cs="Arial"/>
                <w:color w:val="666666"/>
                <w:sz w:val="21"/>
                <w:szCs w:val="21"/>
                <w:lang w:eastAsia="sl-SI"/>
              </w:rPr>
              <w:t xml:space="preserve"> objekti (stadioni, bazeni, </w:t>
            </w:r>
            <w:proofErr w:type="spellStart"/>
            <w:r w:rsidRPr="009A64F1">
              <w:rPr>
                <w:rFonts w:eastAsia="Times New Roman" w:cs="Arial"/>
                <w:color w:val="666666"/>
                <w:sz w:val="21"/>
                <w:szCs w:val="21"/>
                <w:lang w:eastAsia="sl-SI"/>
              </w:rPr>
              <w:t>sportske</w:t>
            </w:r>
            <w:proofErr w:type="spellEnd"/>
            <w:r w:rsidRPr="009A64F1">
              <w:rPr>
                <w:rFonts w:eastAsia="Times New Roman" w:cs="Arial"/>
                <w:color w:val="666666"/>
                <w:sz w:val="21"/>
                <w:szCs w:val="21"/>
                <w:lang w:eastAsia="sl-SI"/>
              </w:rPr>
              <w:t xml:space="preserve"> hale i dr.)</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21.</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Silosi na </w:t>
            </w:r>
            <w:proofErr w:type="spellStart"/>
            <w:r w:rsidRPr="009A64F1">
              <w:rPr>
                <w:rFonts w:eastAsia="Times New Roman" w:cs="Arial"/>
                <w:color w:val="666666"/>
                <w:sz w:val="21"/>
                <w:szCs w:val="21"/>
                <w:lang w:eastAsia="sl-SI"/>
              </w:rPr>
              <w:t>poljoprivrednim</w:t>
            </w:r>
            <w:proofErr w:type="spellEnd"/>
            <w:r w:rsidRPr="009A64F1">
              <w:rPr>
                <w:rFonts w:eastAsia="Times New Roman" w:cs="Arial"/>
                <w:color w:val="666666"/>
                <w:sz w:val="21"/>
                <w:szCs w:val="21"/>
                <w:lang w:eastAsia="sl-SI"/>
              </w:rPr>
              <w:t xml:space="preserve"> dobrima</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22.</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Tuneli</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23.</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Vodovodi i cevovodi</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24.</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Železnička</w:t>
            </w:r>
            <w:proofErr w:type="spellEnd"/>
            <w:r w:rsidRPr="009A64F1">
              <w:rPr>
                <w:rFonts w:eastAsia="Times New Roman" w:cs="Arial"/>
                <w:color w:val="666666"/>
                <w:sz w:val="21"/>
                <w:szCs w:val="21"/>
                <w:lang w:eastAsia="sl-SI"/>
              </w:rPr>
              <w:t xml:space="preserve"> infrastruktura</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25.</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Zgrade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26.</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Sve</w:t>
            </w:r>
            <w:proofErr w:type="spellEnd"/>
            <w:r w:rsidRPr="009A64F1">
              <w:rPr>
                <w:rFonts w:eastAsia="Times New Roman" w:cs="Arial"/>
                <w:color w:val="666666"/>
                <w:sz w:val="21"/>
                <w:szCs w:val="21"/>
                <w:lang w:eastAsia="sl-SI"/>
              </w:rPr>
              <w:t xml:space="preserve"> ostale </w:t>
            </w:r>
            <w:proofErr w:type="spellStart"/>
            <w:r w:rsidRPr="009A64F1">
              <w:rPr>
                <w:rFonts w:eastAsia="Times New Roman" w:cs="Arial"/>
                <w:color w:val="666666"/>
                <w:sz w:val="21"/>
                <w:szCs w:val="21"/>
                <w:lang w:eastAsia="sl-SI"/>
              </w:rPr>
              <w:t>nepomenute</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nepokretnosti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val="restart"/>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II </w:t>
            </w:r>
          </w:p>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 </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Avioni</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Automobili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3.</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Brodovi i ostali plovni objekti</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10%</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4.</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Klima </w:t>
            </w:r>
            <w:proofErr w:type="spellStart"/>
            <w:r w:rsidRPr="009A64F1">
              <w:rPr>
                <w:rFonts w:eastAsia="Times New Roman" w:cs="Arial"/>
                <w:color w:val="666666"/>
                <w:sz w:val="21"/>
                <w:szCs w:val="21"/>
                <w:lang w:eastAsia="sl-SI"/>
              </w:rPr>
              <w:t>uređaji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5.</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Liftovi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6.</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Bojleri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7.</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Nameštaj</w:t>
            </w:r>
            <w:proofErr w:type="spellEnd"/>
            <w:r w:rsidRPr="009A64F1">
              <w:rPr>
                <w:rFonts w:eastAsia="Times New Roman" w:cs="Arial"/>
                <w:color w:val="666666"/>
                <w:sz w:val="21"/>
                <w:szCs w:val="21"/>
                <w:lang w:eastAsia="sl-SI"/>
              </w:rPr>
              <w:t xml:space="preserve"> u </w:t>
            </w:r>
            <w:proofErr w:type="spellStart"/>
            <w:r w:rsidRPr="009A64F1">
              <w:rPr>
                <w:rFonts w:eastAsia="Times New Roman" w:cs="Arial"/>
                <w:color w:val="666666"/>
                <w:sz w:val="21"/>
                <w:szCs w:val="21"/>
                <w:lang w:eastAsia="sl-SI"/>
              </w:rPr>
              <w:t>brodovima</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8.</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Medicinska oprema</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9.</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Ograde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10.</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Oprema za </w:t>
            </w:r>
            <w:proofErr w:type="spellStart"/>
            <w:r w:rsidRPr="009A64F1">
              <w:rPr>
                <w:rFonts w:eastAsia="Times New Roman" w:cs="Arial"/>
                <w:color w:val="666666"/>
                <w:sz w:val="21"/>
                <w:szCs w:val="21"/>
                <w:lang w:eastAsia="sl-SI"/>
              </w:rPr>
              <w:t>kancelariju</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11.</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Oprema za </w:t>
            </w:r>
            <w:proofErr w:type="spellStart"/>
            <w:r w:rsidRPr="009A64F1">
              <w:rPr>
                <w:rFonts w:eastAsia="Times New Roman" w:cs="Arial"/>
                <w:color w:val="666666"/>
                <w:sz w:val="21"/>
                <w:szCs w:val="21"/>
                <w:lang w:eastAsia="sl-SI"/>
              </w:rPr>
              <w:t>proizvodnju</w:t>
            </w:r>
            <w:proofErr w:type="spellEnd"/>
            <w:r w:rsidRPr="009A64F1">
              <w:rPr>
                <w:rFonts w:eastAsia="Times New Roman" w:cs="Arial"/>
                <w:color w:val="666666"/>
                <w:sz w:val="21"/>
                <w:szCs w:val="21"/>
                <w:lang w:eastAsia="sl-SI"/>
              </w:rPr>
              <w:t xml:space="preserve"> i </w:t>
            </w:r>
            <w:proofErr w:type="spellStart"/>
            <w:r w:rsidRPr="009A64F1">
              <w:rPr>
                <w:rFonts w:eastAsia="Times New Roman" w:cs="Arial"/>
                <w:color w:val="666666"/>
                <w:sz w:val="21"/>
                <w:szCs w:val="21"/>
                <w:lang w:eastAsia="sl-SI"/>
              </w:rPr>
              <w:t>distribuciju</w:t>
            </w:r>
            <w:proofErr w:type="spellEnd"/>
            <w:r w:rsidRPr="009A64F1">
              <w:rPr>
                <w:rFonts w:eastAsia="Times New Roman" w:cs="Arial"/>
                <w:color w:val="666666"/>
                <w:sz w:val="21"/>
                <w:szCs w:val="21"/>
                <w:lang w:eastAsia="sl-SI"/>
              </w:rPr>
              <w:t xml:space="preserve"> solarne energije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12.</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Oprema za </w:t>
            </w:r>
            <w:proofErr w:type="spellStart"/>
            <w:r w:rsidRPr="009A64F1">
              <w:rPr>
                <w:rFonts w:eastAsia="Times New Roman" w:cs="Arial"/>
                <w:color w:val="666666"/>
                <w:sz w:val="21"/>
                <w:szCs w:val="21"/>
                <w:lang w:eastAsia="sl-SI"/>
              </w:rPr>
              <w:t>proizvodnju</w:t>
            </w:r>
            <w:proofErr w:type="spellEnd"/>
            <w:r w:rsidRPr="009A64F1">
              <w:rPr>
                <w:rFonts w:eastAsia="Times New Roman" w:cs="Arial"/>
                <w:color w:val="666666"/>
                <w:sz w:val="21"/>
                <w:szCs w:val="21"/>
                <w:lang w:eastAsia="sl-SI"/>
              </w:rPr>
              <w:t xml:space="preserve"> i </w:t>
            </w:r>
            <w:proofErr w:type="spellStart"/>
            <w:r w:rsidRPr="009A64F1">
              <w:rPr>
                <w:rFonts w:eastAsia="Times New Roman" w:cs="Arial"/>
                <w:color w:val="666666"/>
                <w:sz w:val="21"/>
                <w:szCs w:val="21"/>
                <w:lang w:eastAsia="sl-SI"/>
              </w:rPr>
              <w:t>distribuciju</w:t>
            </w:r>
            <w:proofErr w:type="spellEnd"/>
            <w:r w:rsidRPr="009A64F1">
              <w:rPr>
                <w:rFonts w:eastAsia="Times New Roman" w:cs="Arial"/>
                <w:color w:val="666666"/>
                <w:sz w:val="21"/>
                <w:szCs w:val="21"/>
                <w:lang w:eastAsia="sl-SI"/>
              </w:rPr>
              <w:t xml:space="preserve"> električne energije, gasa, toplote i vode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13.</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Vagoni</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14.</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Vinogradi</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15.</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Voćnjaci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16.</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Nematerijalna</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ulaganja</w:t>
            </w:r>
            <w:proofErr w:type="spellEnd"/>
            <w:r w:rsidRPr="009A64F1">
              <w:rPr>
                <w:rFonts w:eastAsia="Times New Roman" w:cs="Arial"/>
                <w:color w:val="666666"/>
                <w:sz w:val="21"/>
                <w:szCs w:val="21"/>
                <w:lang w:eastAsia="sl-SI"/>
              </w:rPr>
              <w:t xml:space="preserve"> (koncesije, licence, patenti, </w:t>
            </w:r>
            <w:proofErr w:type="spellStart"/>
            <w:r w:rsidRPr="009A64F1">
              <w:rPr>
                <w:rFonts w:eastAsia="Times New Roman" w:cs="Arial"/>
                <w:color w:val="666666"/>
                <w:sz w:val="21"/>
                <w:szCs w:val="21"/>
                <w:lang w:eastAsia="sl-SI"/>
              </w:rPr>
              <w:t>žigovi</w:t>
            </w:r>
            <w:proofErr w:type="spellEnd"/>
            <w:r w:rsidRPr="009A64F1">
              <w:rPr>
                <w:rFonts w:eastAsia="Times New Roman" w:cs="Arial"/>
                <w:color w:val="666666"/>
                <w:sz w:val="21"/>
                <w:szCs w:val="21"/>
                <w:lang w:eastAsia="sl-SI"/>
              </w:rPr>
              <w:t xml:space="preserve">, modeli, </w:t>
            </w:r>
            <w:proofErr w:type="spellStart"/>
            <w:r w:rsidRPr="009A64F1">
              <w:rPr>
                <w:rFonts w:eastAsia="Times New Roman" w:cs="Arial"/>
                <w:color w:val="666666"/>
                <w:sz w:val="21"/>
                <w:szCs w:val="21"/>
                <w:lang w:eastAsia="sl-SI"/>
              </w:rPr>
              <w:t>autorska</w:t>
            </w:r>
            <w:proofErr w:type="spellEnd"/>
            <w:r w:rsidRPr="009A64F1">
              <w:rPr>
                <w:rFonts w:eastAsia="Times New Roman" w:cs="Arial"/>
                <w:color w:val="666666"/>
                <w:sz w:val="21"/>
                <w:szCs w:val="21"/>
                <w:lang w:eastAsia="sl-SI"/>
              </w:rPr>
              <w:t xml:space="preserve"> prava, franšiza i druga prava)</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val="restart"/>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III </w:t>
            </w:r>
          </w:p>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 </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Alat</w:t>
            </w:r>
            <w:proofErr w:type="spellEnd"/>
            <w:r w:rsidRPr="009A64F1">
              <w:rPr>
                <w:rFonts w:eastAsia="Times New Roman" w:cs="Arial"/>
                <w:color w:val="666666"/>
                <w:sz w:val="21"/>
                <w:szCs w:val="21"/>
                <w:lang w:eastAsia="sl-SI"/>
              </w:rPr>
              <w:t xml:space="preserve"> i inventar</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Autobusi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3.</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Oprema za termo </w:t>
            </w:r>
            <w:proofErr w:type="spellStart"/>
            <w:r w:rsidRPr="009A64F1">
              <w:rPr>
                <w:rFonts w:eastAsia="Times New Roman" w:cs="Arial"/>
                <w:color w:val="666666"/>
                <w:sz w:val="21"/>
                <w:szCs w:val="21"/>
                <w:lang w:eastAsia="sl-SI"/>
              </w:rPr>
              <w:t>elektrane</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15 %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4.</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Oprema za </w:t>
            </w:r>
            <w:proofErr w:type="spellStart"/>
            <w:r w:rsidRPr="009A64F1">
              <w:rPr>
                <w:rFonts w:eastAsia="Times New Roman" w:cs="Arial"/>
                <w:color w:val="666666"/>
                <w:sz w:val="21"/>
                <w:szCs w:val="21"/>
                <w:lang w:eastAsia="sl-SI"/>
              </w:rPr>
              <w:t>proizvodnju</w:t>
            </w:r>
            <w:proofErr w:type="spellEnd"/>
            <w:r w:rsidRPr="009A64F1">
              <w:rPr>
                <w:rFonts w:eastAsia="Times New Roman" w:cs="Arial"/>
                <w:color w:val="666666"/>
                <w:sz w:val="21"/>
                <w:szCs w:val="21"/>
                <w:lang w:eastAsia="sl-SI"/>
              </w:rPr>
              <w:t xml:space="preserve"> mleka i mlečnih proizvoda</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5.</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Fiskalne kase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6.</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Fliperi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7.</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Hladnjače</w:t>
            </w:r>
            <w:proofErr w:type="spellEnd"/>
            <w:r w:rsidRPr="009A64F1">
              <w:rPr>
                <w:rFonts w:eastAsia="Times New Roman" w:cs="Arial"/>
                <w:color w:val="666666"/>
                <w:sz w:val="21"/>
                <w:szCs w:val="21"/>
                <w:lang w:eastAsia="sl-SI"/>
              </w:rPr>
              <w:t xml:space="preserve"> za </w:t>
            </w:r>
            <w:proofErr w:type="spellStart"/>
            <w:r w:rsidRPr="009A64F1">
              <w:rPr>
                <w:rFonts w:eastAsia="Times New Roman" w:cs="Arial"/>
                <w:color w:val="666666"/>
                <w:sz w:val="21"/>
                <w:szCs w:val="21"/>
                <w:lang w:eastAsia="sl-SI"/>
              </w:rPr>
              <w:t>povrće</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8.</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Kalkulatori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9.</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Kamioni i prikolice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10.</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Laboratorijska oprema</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11.</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Mašine za </w:t>
            </w:r>
            <w:proofErr w:type="spellStart"/>
            <w:r w:rsidRPr="009A64F1">
              <w:rPr>
                <w:rFonts w:eastAsia="Times New Roman" w:cs="Arial"/>
                <w:color w:val="666666"/>
                <w:sz w:val="21"/>
                <w:szCs w:val="21"/>
                <w:lang w:eastAsia="sl-SI"/>
              </w:rPr>
              <w:t>čišćenje</w:t>
            </w:r>
            <w:proofErr w:type="spellEnd"/>
            <w:r w:rsidRPr="009A64F1">
              <w:rPr>
                <w:rFonts w:eastAsia="Times New Roman" w:cs="Arial"/>
                <w:color w:val="666666"/>
                <w:sz w:val="21"/>
                <w:szCs w:val="21"/>
                <w:lang w:eastAsia="sl-SI"/>
              </w:rPr>
              <w:t xml:space="preserve"> žitarica</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12.</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Oprema za fotokopiranje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13.</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Nameštaj</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koji</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nije</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pomenut</w:t>
            </w:r>
            <w:proofErr w:type="spellEnd"/>
            <w:r w:rsidRPr="009A64F1">
              <w:rPr>
                <w:rFonts w:eastAsia="Times New Roman" w:cs="Arial"/>
                <w:color w:val="666666"/>
                <w:sz w:val="21"/>
                <w:szCs w:val="21"/>
                <w:lang w:eastAsia="sl-SI"/>
              </w:rPr>
              <w:t xml:space="preserve"> na drugim </w:t>
            </w:r>
            <w:proofErr w:type="spellStart"/>
            <w:r w:rsidRPr="009A64F1">
              <w:rPr>
                <w:rFonts w:eastAsia="Times New Roman" w:cs="Arial"/>
                <w:color w:val="666666"/>
                <w:sz w:val="21"/>
                <w:szCs w:val="21"/>
                <w:lang w:eastAsia="sl-SI"/>
              </w:rPr>
              <w:t>mestima</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14.</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Oprema za </w:t>
            </w:r>
            <w:proofErr w:type="spellStart"/>
            <w:r w:rsidRPr="009A64F1">
              <w:rPr>
                <w:rFonts w:eastAsia="Times New Roman" w:cs="Arial"/>
                <w:color w:val="666666"/>
                <w:sz w:val="21"/>
                <w:szCs w:val="21"/>
                <w:lang w:eastAsia="sl-SI"/>
              </w:rPr>
              <w:t>istraživanje</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15.</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Postrojenja za pravljenje betona</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16.</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Pokretna oprema za </w:t>
            </w:r>
            <w:proofErr w:type="spellStart"/>
            <w:r w:rsidRPr="009A64F1">
              <w:rPr>
                <w:rFonts w:eastAsia="Times New Roman" w:cs="Arial"/>
                <w:color w:val="666666"/>
                <w:sz w:val="21"/>
                <w:szCs w:val="21"/>
                <w:lang w:eastAsia="sl-SI"/>
              </w:rPr>
              <w:t>proizvodnju</w:t>
            </w:r>
            <w:proofErr w:type="spellEnd"/>
            <w:r w:rsidRPr="009A64F1">
              <w:rPr>
                <w:rFonts w:eastAsia="Times New Roman" w:cs="Arial"/>
                <w:color w:val="666666"/>
                <w:sz w:val="21"/>
                <w:szCs w:val="21"/>
                <w:lang w:eastAsia="sl-SI"/>
              </w:rPr>
              <w:t xml:space="preserve"> električne energije (agregati i sl.)</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17.</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Radari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18.</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Televizijske antene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19.</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Sva ostala stalna sredstva (</w:t>
            </w:r>
            <w:proofErr w:type="spellStart"/>
            <w:r w:rsidRPr="009A64F1">
              <w:rPr>
                <w:rFonts w:eastAsia="Times New Roman" w:cs="Arial"/>
                <w:color w:val="666666"/>
                <w:sz w:val="21"/>
                <w:szCs w:val="21"/>
                <w:lang w:eastAsia="sl-SI"/>
              </w:rPr>
              <w:t>osim</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nepokretnosti</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koja</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nisu</w:t>
            </w:r>
            <w:proofErr w:type="spellEnd"/>
            <w:r w:rsidRPr="009A64F1">
              <w:rPr>
                <w:rFonts w:eastAsia="Times New Roman" w:cs="Arial"/>
                <w:color w:val="666666"/>
                <w:sz w:val="21"/>
                <w:szCs w:val="21"/>
                <w:lang w:eastAsia="sl-SI"/>
              </w:rPr>
              <w:t xml:space="preserve"> posebno naznačena u grupama II do V</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val="restart"/>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IV </w:t>
            </w:r>
          </w:p>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 </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Nameštaj</w:t>
            </w:r>
            <w:proofErr w:type="spellEnd"/>
            <w:r w:rsidRPr="009A64F1">
              <w:rPr>
                <w:rFonts w:eastAsia="Times New Roman" w:cs="Arial"/>
                <w:color w:val="666666"/>
                <w:sz w:val="21"/>
                <w:szCs w:val="21"/>
                <w:lang w:eastAsia="sl-SI"/>
              </w:rPr>
              <w:t xml:space="preserve"> u </w:t>
            </w:r>
            <w:proofErr w:type="spellStart"/>
            <w:r w:rsidRPr="009A64F1">
              <w:rPr>
                <w:rFonts w:eastAsia="Times New Roman" w:cs="Arial"/>
                <w:color w:val="666666"/>
                <w:sz w:val="21"/>
                <w:szCs w:val="21"/>
                <w:lang w:eastAsia="sl-SI"/>
              </w:rPr>
              <w:t>avionima</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Oprema za </w:t>
            </w:r>
            <w:proofErr w:type="spellStart"/>
            <w:r w:rsidRPr="009A64F1">
              <w:rPr>
                <w:rFonts w:eastAsia="Times New Roman" w:cs="Arial"/>
                <w:color w:val="666666"/>
                <w:sz w:val="21"/>
                <w:szCs w:val="21"/>
                <w:lang w:eastAsia="sl-SI"/>
              </w:rPr>
              <w:t>kontrolu</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zagađenja</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vazduha</w:t>
            </w:r>
            <w:proofErr w:type="spellEnd"/>
            <w:r w:rsidRPr="009A64F1">
              <w:rPr>
                <w:rFonts w:eastAsia="Times New Roman" w:cs="Arial"/>
                <w:color w:val="666666"/>
                <w:sz w:val="21"/>
                <w:szCs w:val="21"/>
                <w:lang w:eastAsia="sl-SI"/>
              </w:rPr>
              <w:t xml:space="preserve"> i vode - </w:t>
            </w:r>
            <w:proofErr w:type="spellStart"/>
            <w:r w:rsidRPr="009A64F1">
              <w:rPr>
                <w:rFonts w:eastAsia="Times New Roman" w:cs="Arial"/>
                <w:color w:val="666666"/>
                <w:sz w:val="21"/>
                <w:szCs w:val="21"/>
                <w:lang w:eastAsia="sl-SI"/>
              </w:rPr>
              <w:t>nelicencirana</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3.</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Oprema za </w:t>
            </w:r>
            <w:proofErr w:type="spellStart"/>
            <w:r w:rsidRPr="009A64F1">
              <w:rPr>
                <w:rFonts w:eastAsia="Times New Roman" w:cs="Arial"/>
                <w:color w:val="666666"/>
                <w:sz w:val="21"/>
                <w:szCs w:val="21"/>
                <w:lang w:eastAsia="sl-SI"/>
              </w:rPr>
              <w:t>emitovanje</w:t>
            </w:r>
            <w:proofErr w:type="spellEnd"/>
            <w:r w:rsidRPr="009A64F1">
              <w:rPr>
                <w:rFonts w:eastAsia="Times New Roman" w:cs="Arial"/>
                <w:color w:val="666666"/>
                <w:sz w:val="21"/>
                <w:szCs w:val="21"/>
                <w:lang w:eastAsia="sl-SI"/>
              </w:rPr>
              <w:t xml:space="preserve"> radio i TV programa</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20%</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4.</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Oprema za naftne </w:t>
            </w:r>
            <w:proofErr w:type="spellStart"/>
            <w:r w:rsidRPr="009A64F1">
              <w:rPr>
                <w:rFonts w:eastAsia="Times New Roman" w:cs="Arial"/>
                <w:color w:val="666666"/>
                <w:sz w:val="21"/>
                <w:szCs w:val="21"/>
                <w:lang w:eastAsia="sl-SI"/>
              </w:rPr>
              <w:t>bušotine</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5.</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Oprema za obradu rude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6.</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Rezervni </w:t>
            </w:r>
            <w:proofErr w:type="spellStart"/>
            <w:r w:rsidRPr="009A64F1">
              <w:rPr>
                <w:rFonts w:eastAsia="Times New Roman" w:cs="Arial"/>
                <w:color w:val="666666"/>
                <w:sz w:val="21"/>
                <w:szCs w:val="21"/>
                <w:lang w:eastAsia="sl-SI"/>
              </w:rPr>
              <w:t>delovi</w:t>
            </w:r>
            <w:proofErr w:type="spellEnd"/>
            <w:r w:rsidRPr="009A64F1">
              <w:rPr>
                <w:rFonts w:eastAsia="Times New Roman" w:cs="Arial"/>
                <w:color w:val="666666"/>
                <w:sz w:val="21"/>
                <w:szCs w:val="21"/>
                <w:lang w:eastAsia="sl-SI"/>
              </w:rPr>
              <w:t xml:space="preserve"> za avione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7.</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Telegrafska i telefonska oprema (žice i razni </w:t>
            </w:r>
            <w:proofErr w:type="spellStart"/>
            <w:r w:rsidRPr="009A64F1">
              <w:rPr>
                <w:rFonts w:eastAsia="Times New Roman" w:cs="Arial"/>
                <w:color w:val="666666"/>
                <w:sz w:val="21"/>
                <w:szCs w:val="21"/>
                <w:lang w:eastAsia="sl-SI"/>
              </w:rPr>
              <w:t>kablovi</w:t>
            </w:r>
            <w:proofErr w:type="spellEnd"/>
            <w:r w:rsidRPr="009A64F1">
              <w:rPr>
                <w:rFonts w:eastAsia="Times New Roman" w:cs="Arial"/>
                <w:color w:val="666666"/>
                <w:sz w:val="21"/>
                <w:szCs w:val="21"/>
                <w:lang w:eastAsia="sl-SI"/>
              </w:rPr>
              <w:t>)</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val="restart"/>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V </w:t>
            </w:r>
          </w:p>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 </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Automobili</w:t>
            </w:r>
            <w:proofErr w:type="spellEnd"/>
            <w:r w:rsidRPr="009A64F1">
              <w:rPr>
                <w:rFonts w:eastAsia="Times New Roman" w:cs="Arial"/>
                <w:color w:val="666666"/>
                <w:sz w:val="21"/>
                <w:szCs w:val="21"/>
                <w:lang w:eastAsia="sl-SI"/>
              </w:rPr>
              <w:t xml:space="preserve"> za </w:t>
            </w:r>
            <w:proofErr w:type="spellStart"/>
            <w:r w:rsidRPr="009A64F1">
              <w:rPr>
                <w:rFonts w:eastAsia="Times New Roman" w:cs="Arial"/>
                <w:color w:val="666666"/>
                <w:sz w:val="21"/>
                <w:szCs w:val="21"/>
                <w:lang w:eastAsia="sl-SI"/>
              </w:rPr>
              <w:t>iznajmljivanje</w:t>
            </w:r>
            <w:proofErr w:type="spellEnd"/>
            <w:r w:rsidRPr="009A64F1">
              <w:rPr>
                <w:rFonts w:eastAsia="Times New Roman" w:cs="Arial"/>
                <w:color w:val="666666"/>
                <w:sz w:val="21"/>
                <w:szCs w:val="21"/>
                <w:lang w:eastAsia="sl-SI"/>
              </w:rPr>
              <w:t xml:space="preserve"> ili </w:t>
            </w:r>
            <w:proofErr w:type="spellStart"/>
            <w:r w:rsidRPr="009A64F1">
              <w:rPr>
                <w:rFonts w:eastAsia="Times New Roman" w:cs="Arial"/>
                <w:color w:val="666666"/>
                <w:sz w:val="21"/>
                <w:szCs w:val="21"/>
                <w:lang w:eastAsia="sl-SI"/>
              </w:rPr>
              <w:t>lizing</w:t>
            </w:r>
            <w:proofErr w:type="spellEnd"/>
            <w:r w:rsidRPr="009A64F1">
              <w:rPr>
                <w:rFonts w:eastAsia="Times New Roman" w:cs="Arial"/>
                <w:color w:val="666666"/>
                <w:sz w:val="21"/>
                <w:szCs w:val="21"/>
                <w:lang w:eastAsia="sl-SI"/>
              </w:rPr>
              <w:t xml:space="preserve"> i taksi vozila</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Bilbordovi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3.</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Branici za </w:t>
            </w:r>
            <w:proofErr w:type="spellStart"/>
            <w:r w:rsidRPr="009A64F1">
              <w:rPr>
                <w:rFonts w:eastAsia="Times New Roman" w:cs="Arial"/>
                <w:color w:val="666666"/>
                <w:sz w:val="21"/>
                <w:szCs w:val="21"/>
                <w:lang w:eastAsia="sl-SI"/>
              </w:rPr>
              <w:t>puteve</w:t>
            </w:r>
            <w:proofErr w:type="spellEnd"/>
            <w:r w:rsidRPr="009A64F1">
              <w:rPr>
                <w:rFonts w:eastAsia="Times New Roman" w:cs="Arial"/>
                <w:color w:val="666666"/>
                <w:sz w:val="21"/>
                <w:szCs w:val="21"/>
                <w:lang w:eastAsia="sl-SI"/>
              </w:rPr>
              <w:t xml:space="preserve"> i </w:t>
            </w:r>
            <w:proofErr w:type="spellStart"/>
            <w:r w:rsidRPr="009A64F1">
              <w:rPr>
                <w:rFonts w:eastAsia="Times New Roman" w:cs="Arial"/>
                <w:color w:val="666666"/>
                <w:sz w:val="21"/>
                <w:szCs w:val="21"/>
                <w:lang w:eastAsia="sl-SI"/>
              </w:rPr>
              <w:t>pruge</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30%</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4.</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Električne reklame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5.</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Elektronska oprema za procesiranje </w:t>
            </w:r>
            <w:proofErr w:type="spellStart"/>
            <w:r w:rsidRPr="009A64F1">
              <w:rPr>
                <w:rFonts w:eastAsia="Times New Roman" w:cs="Arial"/>
                <w:color w:val="666666"/>
                <w:sz w:val="21"/>
                <w:szCs w:val="21"/>
                <w:lang w:eastAsia="sl-SI"/>
              </w:rPr>
              <w:t>podataka</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kompjuteri</w:t>
            </w:r>
            <w:proofErr w:type="spellEnd"/>
            <w:r w:rsidRPr="009A64F1">
              <w:rPr>
                <w:rFonts w:eastAsia="Times New Roman" w:cs="Arial"/>
                <w:color w:val="666666"/>
                <w:sz w:val="21"/>
                <w:szCs w:val="21"/>
                <w:lang w:eastAsia="sl-SI"/>
              </w:rPr>
              <w:t xml:space="preserve">) i sistemski </w:t>
            </w:r>
            <w:r w:rsidRPr="009A64F1">
              <w:rPr>
                <w:rFonts w:eastAsia="Times New Roman" w:cs="Arial"/>
                <w:color w:val="666666"/>
                <w:sz w:val="21"/>
                <w:szCs w:val="21"/>
                <w:lang w:eastAsia="sl-SI"/>
              </w:rPr>
              <w:lastRenderedPageBreak/>
              <w:t xml:space="preserve">i </w:t>
            </w:r>
            <w:proofErr w:type="spellStart"/>
            <w:r w:rsidRPr="009A64F1">
              <w:rPr>
                <w:rFonts w:eastAsia="Times New Roman" w:cs="Arial"/>
                <w:color w:val="666666"/>
                <w:sz w:val="21"/>
                <w:szCs w:val="21"/>
                <w:lang w:eastAsia="sl-SI"/>
              </w:rPr>
              <w:t>aplikacioni</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softveri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lastRenderedPageBreak/>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6.</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Oprema za </w:t>
            </w:r>
            <w:proofErr w:type="spellStart"/>
            <w:r w:rsidRPr="009A64F1">
              <w:rPr>
                <w:rFonts w:eastAsia="Times New Roman" w:cs="Arial"/>
                <w:color w:val="666666"/>
                <w:sz w:val="21"/>
                <w:szCs w:val="21"/>
                <w:lang w:eastAsia="sl-SI"/>
              </w:rPr>
              <w:t>informatičku</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infrastrukturu</w:t>
            </w:r>
            <w:proofErr w:type="spellEnd"/>
            <w:r w:rsidRPr="009A64F1">
              <w:rPr>
                <w:rFonts w:eastAsia="Times New Roman" w:cs="Arial"/>
                <w:color w:val="666666"/>
                <w:sz w:val="21"/>
                <w:szCs w:val="21"/>
                <w:lang w:eastAsia="sl-SI"/>
              </w:rPr>
              <w:t xml:space="preserve"> ( </w:t>
            </w:r>
            <w:proofErr w:type="spellStart"/>
            <w:r w:rsidRPr="009A64F1">
              <w:rPr>
                <w:rFonts w:eastAsia="Times New Roman" w:cs="Arial"/>
                <w:color w:val="666666"/>
                <w:sz w:val="21"/>
                <w:szCs w:val="21"/>
                <w:lang w:eastAsia="sl-SI"/>
              </w:rPr>
              <w:t>Yupak</w:t>
            </w:r>
            <w:proofErr w:type="spellEnd"/>
            <w:r w:rsidRPr="009A64F1">
              <w:rPr>
                <w:rFonts w:eastAsia="Times New Roman" w:cs="Arial"/>
                <w:color w:val="666666"/>
                <w:sz w:val="21"/>
                <w:szCs w:val="21"/>
                <w:lang w:eastAsia="sl-SI"/>
              </w:rPr>
              <w:t>, Internet)</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7.</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Filmovi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8.</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Televizijske reklame i </w:t>
            </w:r>
            <w:proofErr w:type="spellStart"/>
            <w:r w:rsidRPr="009A64F1">
              <w:rPr>
                <w:rFonts w:eastAsia="Times New Roman" w:cs="Arial"/>
                <w:color w:val="666666"/>
                <w:sz w:val="21"/>
                <w:szCs w:val="21"/>
                <w:lang w:eastAsia="sl-SI"/>
              </w:rPr>
              <w:t>spotovi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9.</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Građevinska</w:t>
            </w:r>
            <w:proofErr w:type="spellEnd"/>
            <w:r w:rsidRPr="009A64F1">
              <w:rPr>
                <w:rFonts w:eastAsia="Times New Roman" w:cs="Arial"/>
                <w:color w:val="666666"/>
                <w:sz w:val="21"/>
                <w:szCs w:val="21"/>
                <w:lang w:eastAsia="sl-SI"/>
              </w:rPr>
              <w:t xml:space="preserve"> pokretna oprema</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10.</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Kalupi za </w:t>
            </w:r>
            <w:proofErr w:type="spellStart"/>
            <w:r w:rsidRPr="009A64F1">
              <w:rPr>
                <w:rFonts w:eastAsia="Times New Roman" w:cs="Arial"/>
                <w:color w:val="666666"/>
                <w:sz w:val="21"/>
                <w:szCs w:val="21"/>
                <w:lang w:eastAsia="sl-SI"/>
              </w:rPr>
              <w:t>livenje</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11.</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Knjige u </w:t>
            </w:r>
            <w:proofErr w:type="spellStart"/>
            <w:r w:rsidRPr="009A64F1">
              <w:rPr>
                <w:rFonts w:eastAsia="Times New Roman" w:cs="Arial"/>
                <w:color w:val="666666"/>
                <w:sz w:val="21"/>
                <w:szCs w:val="21"/>
                <w:lang w:eastAsia="sl-SI"/>
              </w:rPr>
              <w:t>biblioteci</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koje</w:t>
            </w:r>
            <w:proofErr w:type="spellEnd"/>
            <w:r w:rsidRPr="009A64F1">
              <w:rPr>
                <w:rFonts w:eastAsia="Times New Roman" w:cs="Arial"/>
                <w:color w:val="666666"/>
                <w:sz w:val="21"/>
                <w:szCs w:val="21"/>
                <w:lang w:eastAsia="sl-SI"/>
              </w:rPr>
              <w:t xml:space="preserve"> se </w:t>
            </w:r>
            <w:proofErr w:type="spellStart"/>
            <w:r w:rsidRPr="009A64F1">
              <w:rPr>
                <w:rFonts w:eastAsia="Times New Roman" w:cs="Arial"/>
                <w:color w:val="666666"/>
                <w:sz w:val="21"/>
                <w:szCs w:val="21"/>
                <w:lang w:eastAsia="sl-SI"/>
              </w:rPr>
              <w:t>iznajmljuju</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12.</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Industrijski noževi</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13.</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Oprema za seču </w:t>
            </w:r>
            <w:proofErr w:type="spellStart"/>
            <w:r w:rsidRPr="009A64F1">
              <w:rPr>
                <w:rFonts w:eastAsia="Times New Roman" w:cs="Arial"/>
                <w:color w:val="666666"/>
                <w:sz w:val="21"/>
                <w:szCs w:val="21"/>
                <w:lang w:eastAsia="sl-SI"/>
              </w:rPr>
              <w:t>drveća</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jc w:val="center"/>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14.</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Platno (</w:t>
            </w:r>
            <w:proofErr w:type="spellStart"/>
            <w:r w:rsidRPr="009A64F1">
              <w:rPr>
                <w:rFonts w:eastAsia="Times New Roman" w:cs="Arial"/>
                <w:color w:val="666666"/>
                <w:sz w:val="21"/>
                <w:szCs w:val="21"/>
                <w:lang w:eastAsia="sl-SI"/>
              </w:rPr>
              <w:t>tepisi</w:t>
            </w:r>
            <w:proofErr w:type="spellEnd"/>
            <w:r w:rsidRPr="009A64F1">
              <w:rPr>
                <w:rFonts w:eastAsia="Times New Roman" w:cs="Arial"/>
                <w:color w:val="666666"/>
                <w:sz w:val="21"/>
                <w:szCs w:val="21"/>
                <w:lang w:eastAsia="sl-SI"/>
              </w:rPr>
              <w:t>, zastori, zavese, itisoni i sl.)</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15.</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Pokretna oprema </w:t>
            </w:r>
            <w:proofErr w:type="spellStart"/>
            <w:r w:rsidRPr="009A64F1">
              <w:rPr>
                <w:rFonts w:eastAsia="Times New Roman" w:cs="Arial"/>
                <w:color w:val="666666"/>
                <w:sz w:val="21"/>
                <w:szCs w:val="21"/>
                <w:lang w:eastAsia="sl-SI"/>
              </w:rPr>
              <w:t>koja</w:t>
            </w:r>
            <w:proofErr w:type="spellEnd"/>
            <w:r w:rsidRPr="009A64F1">
              <w:rPr>
                <w:rFonts w:eastAsia="Times New Roman" w:cs="Arial"/>
                <w:color w:val="666666"/>
                <w:sz w:val="21"/>
                <w:szCs w:val="21"/>
                <w:lang w:eastAsia="sl-SI"/>
              </w:rPr>
              <w:t xml:space="preserve"> koristi </w:t>
            </w:r>
            <w:proofErr w:type="spellStart"/>
            <w:r w:rsidRPr="009A64F1">
              <w:rPr>
                <w:rFonts w:eastAsia="Times New Roman" w:cs="Arial"/>
                <w:color w:val="666666"/>
                <w:sz w:val="21"/>
                <w:szCs w:val="21"/>
                <w:lang w:eastAsia="sl-SI"/>
              </w:rPr>
              <w:t>električnu</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energiju</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bušilica</w:t>
            </w:r>
            <w:proofErr w:type="spellEnd"/>
            <w:r w:rsidRPr="009A64F1">
              <w:rPr>
                <w:rFonts w:eastAsia="Times New Roman" w:cs="Arial"/>
                <w:color w:val="666666"/>
                <w:sz w:val="21"/>
                <w:szCs w:val="21"/>
                <w:lang w:eastAsia="sl-SI"/>
              </w:rPr>
              <w:t xml:space="preserve">, </w:t>
            </w:r>
            <w:proofErr w:type="spellStart"/>
            <w:r w:rsidRPr="009A64F1">
              <w:rPr>
                <w:rFonts w:eastAsia="Times New Roman" w:cs="Arial"/>
                <w:color w:val="666666"/>
                <w:sz w:val="21"/>
                <w:szCs w:val="21"/>
                <w:lang w:eastAsia="sl-SI"/>
              </w:rPr>
              <w:t>brusilica</w:t>
            </w:r>
            <w:proofErr w:type="spellEnd"/>
            <w:r w:rsidRPr="009A64F1">
              <w:rPr>
                <w:rFonts w:eastAsia="Times New Roman" w:cs="Arial"/>
                <w:color w:val="666666"/>
                <w:sz w:val="21"/>
                <w:szCs w:val="21"/>
                <w:lang w:eastAsia="sl-SI"/>
              </w:rPr>
              <w:t xml:space="preserve"> i sl.)</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16.</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Pokretni </w:t>
            </w:r>
            <w:proofErr w:type="spellStart"/>
            <w:r w:rsidRPr="009A64F1">
              <w:rPr>
                <w:rFonts w:eastAsia="Times New Roman" w:cs="Arial"/>
                <w:color w:val="666666"/>
                <w:sz w:val="21"/>
                <w:szCs w:val="21"/>
                <w:lang w:eastAsia="sl-SI"/>
              </w:rPr>
              <w:t>kampovi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17.</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Skeneri</w:t>
            </w:r>
            <w:proofErr w:type="spellEnd"/>
            <w:r w:rsidRPr="009A64F1">
              <w:rPr>
                <w:rFonts w:eastAsia="Times New Roman" w:cs="Arial"/>
                <w:color w:val="666666"/>
                <w:sz w:val="21"/>
                <w:szCs w:val="21"/>
                <w:lang w:eastAsia="sl-SI"/>
              </w:rPr>
              <w:t xml:space="preserve"> za bar kod</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18.</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proofErr w:type="spellStart"/>
            <w:r w:rsidRPr="009A64F1">
              <w:rPr>
                <w:rFonts w:eastAsia="Times New Roman" w:cs="Arial"/>
                <w:color w:val="666666"/>
                <w:sz w:val="21"/>
                <w:szCs w:val="21"/>
                <w:lang w:eastAsia="sl-SI"/>
              </w:rPr>
              <w:t>Traktori</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19.</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Uniforme</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20.</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Video igre - na </w:t>
            </w:r>
            <w:proofErr w:type="spellStart"/>
            <w:r w:rsidRPr="009A64F1">
              <w:rPr>
                <w:rFonts w:eastAsia="Times New Roman" w:cs="Arial"/>
                <w:color w:val="666666"/>
                <w:sz w:val="21"/>
                <w:szCs w:val="21"/>
                <w:lang w:eastAsia="sl-SI"/>
              </w:rPr>
              <w:t>novčić</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21.</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Video </w:t>
            </w:r>
            <w:proofErr w:type="spellStart"/>
            <w:r w:rsidRPr="009A64F1">
              <w:rPr>
                <w:rFonts w:eastAsia="Times New Roman" w:cs="Arial"/>
                <w:color w:val="666666"/>
                <w:sz w:val="21"/>
                <w:szCs w:val="21"/>
                <w:lang w:eastAsia="sl-SI"/>
              </w:rPr>
              <w:t>trake</w:t>
            </w:r>
            <w:proofErr w:type="spellEnd"/>
            <w:r w:rsidRPr="009A64F1">
              <w:rPr>
                <w:rFonts w:eastAsia="Times New Roman" w:cs="Arial"/>
                <w:color w:val="666666"/>
                <w:sz w:val="21"/>
                <w:szCs w:val="21"/>
                <w:lang w:eastAsia="sl-SI"/>
              </w:rPr>
              <w:t>, CD, DVD i sl.</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r w:rsidR="009A64F1" w:rsidRPr="009A64F1" w:rsidTr="009A64F1">
        <w:trPr>
          <w:jc w:val="center"/>
        </w:trPr>
        <w:tc>
          <w:tcPr>
            <w:tcW w:w="0" w:type="auto"/>
            <w:vMerge/>
            <w:tcBorders>
              <w:top w:val="single" w:sz="6" w:space="0" w:color="CED2D5"/>
              <w:left w:val="outset" w:sz="6" w:space="0" w:color="auto"/>
              <w:bottom w:val="single" w:sz="6" w:space="0" w:color="BFC3C6"/>
              <w:right w:val="single" w:sz="6" w:space="0" w:color="CED2D5"/>
            </w:tcBorders>
            <w:vAlign w:val="center"/>
            <w:hideMark/>
          </w:tcPr>
          <w:p w:rsidR="009A64F1" w:rsidRPr="009A64F1" w:rsidRDefault="009A64F1" w:rsidP="009A64F1">
            <w:pPr>
              <w:spacing w:after="0" w:line="384" w:lineRule="auto"/>
              <w:rPr>
                <w:rFonts w:eastAsia="Times New Roman" w:cs="Arial"/>
                <w:color w:val="666666"/>
                <w:sz w:val="21"/>
                <w:szCs w:val="21"/>
                <w:lang w:eastAsia="sl-SI"/>
              </w:rPr>
            </w:pP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22.</w:t>
            </w:r>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before="100" w:beforeAutospacing="1" w:after="100" w:afterAutospacing="1"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xml:space="preserve">Osnovno </w:t>
            </w:r>
            <w:proofErr w:type="spellStart"/>
            <w:r w:rsidRPr="009A64F1">
              <w:rPr>
                <w:rFonts w:eastAsia="Times New Roman" w:cs="Arial"/>
                <w:color w:val="666666"/>
                <w:sz w:val="21"/>
                <w:szCs w:val="21"/>
                <w:lang w:eastAsia="sl-SI"/>
              </w:rPr>
              <w:t>stado</w:t>
            </w:r>
            <w:proofErr w:type="spellEnd"/>
          </w:p>
        </w:tc>
        <w:tc>
          <w:tcPr>
            <w:tcW w:w="0" w:type="auto"/>
            <w:tcBorders>
              <w:top w:val="single" w:sz="6" w:space="0" w:color="CED2D5"/>
              <w:left w:val="outset" w:sz="6" w:space="0" w:color="auto"/>
              <w:bottom w:val="single" w:sz="6" w:space="0" w:color="BFC3C6"/>
              <w:right w:val="single" w:sz="6" w:space="0" w:color="CED2D5"/>
            </w:tcBorders>
            <w:shd w:val="clear" w:color="auto" w:fill="F3F5F7"/>
            <w:tcMar>
              <w:top w:w="75" w:type="dxa"/>
              <w:left w:w="75" w:type="dxa"/>
              <w:bottom w:w="0" w:type="dxa"/>
              <w:right w:w="75" w:type="dxa"/>
            </w:tcMar>
            <w:hideMark/>
          </w:tcPr>
          <w:p w:rsidR="009A64F1" w:rsidRPr="009A64F1" w:rsidRDefault="009A64F1" w:rsidP="009A64F1">
            <w:pPr>
              <w:spacing w:after="0" w:line="360" w:lineRule="auto"/>
              <w:rPr>
                <w:rFonts w:eastAsia="Times New Roman" w:cs="Arial"/>
                <w:color w:val="666666"/>
                <w:sz w:val="21"/>
                <w:szCs w:val="21"/>
                <w:lang w:eastAsia="sl-SI"/>
              </w:rPr>
            </w:pPr>
            <w:r w:rsidRPr="009A64F1">
              <w:rPr>
                <w:rFonts w:eastAsia="Times New Roman" w:cs="Arial"/>
                <w:color w:val="666666"/>
                <w:sz w:val="21"/>
                <w:szCs w:val="21"/>
                <w:lang w:eastAsia="sl-SI"/>
              </w:rPr>
              <w:t> </w:t>
            </w:r>
          </w:p>
        </w:tc>
      </w:tr>
    </w:tbl>
    <w:p w:rsidR="009A64F1" w:rsidRPr="009A64F1" w:rsidRDefault="009A64F1" w:rsidP="009A64F1">
      <w:pPr>
        <w:spacing w:before="100" w:beforeAutospacing="1" w:after="100" w:afterAutospacing="1" w:line="384" w:lineRule="auto"/>
        <w:jc w:val="center"/>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Član 3.</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Amortizacija za stalna sredstva razvrstana u prvu grupu amortizacije utvrđuje se primenom proporcionalne metode za svako sredstvo posebno.</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Amortizacija iz stava 1. ovog člana obračunava se primenom propisane stope na nabavnu vrednost stalnog sredstva.</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 xml:space="preserve">Za stalna sredstva iz ove grupe, stečena u toku poreskog perioda, amortizacija iz stava 1. ovog člana obračunava se primenom proporcionalne metode za svako stečeno sredstvo posebno, srazmerno vremenu od kada je započet obračun amortizacije do kraja poreskog perioda. Obračun amortizacije </w:t>
      </w:r>
      <w:r w:rsidRPr="009A64F1">
        <w:rPr>
          <w:rFonts w:eastAsia="Times New Roman" w:cs="Arial"/>
          <w:color w:val="666666"/>
          <w:sz w:val="21"/>
          <w:szCs w:val="21"/>
          <w:lang w:val="sr-Latn-RS" w:eastAsia="sl-SI"/>
        </w:rPr>
        <w:lastRenderedPageBreak/>
        <w:t>započinje od dana kada stalna sredstva, saglasno propisima o računovodstvu i reviziji i MRS, odnosno MSFI, postanu raspoloživa za korišćenje.</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Amortizacija za stalna sredstva iz ove grupe na kojima su, u skladu sa propisima o računovodstvu i reviziji i MRS, odnosno MSFI izvršena naknadna ulaganja (u daljem tekstu: naknadna ulaganja), koja se uključuju u vrednost stalnih sredstava u smislu povećanja vrednosti tih stalnih sredstava, obračunava se na način propisan odredbama st. 1. do 3. ovog člana.</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Za stalna sredstva iz ove grupe, otuđena u toku poreskog perioda, amortizacija iz stava 1. ovog člana obračunava se do dana otuđenja tog sredstva.</w:t>
      </w:r>
    </w:p>
    <w:p w:rsidR="009A64F1" w:rsidRPr="009A64F1" w:rsidRDefault="009A64F1" w:rsidP="009A64F1">
      <w:pPr>
        <w:spacing w:before="100" w:beforeAutospacing="1" w:after="100" w:afterAutospacing="1" w:line="384" w:lineRule="auto"/>
        <w:jc w:val="center"/>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Član 4.</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 xml:space="preserve">Amortizacija za stalna sredstva razvrstana u grupe amortizacije od II do V utvrđuje se primenom degresivne metode na ukupnu vrednost sredstava razvrstanih po pojedinoj grupi. </w:t>
      </w:r>
      <w:r w:rsidRPr="009A64F1">
        <w:rPr>
          <w:rFonts w:eastAsia="Times New Roman" w:cs="Arial"/>
          <w:color w:val="666666"/>
          <w:sz w:val="21"/>
          <w:szCs w:val="21"/>
          <w:lang w:val="sr-Latn-RS" w:eastAsia="sl-SI"/>
        </w:rPr>
        <w:br/>
        <w:t>Amortizacija iz stava 1. ovog člana obračunava se primenom propisane stope, u prvoj godini na nabavnu vrednost, a u narednim godinama na iznos neotpisane vrednosti stalnih sredstava grupe (u daljem tekstu: saldo grupe) utvrđene na kraju prethodne godine, uvećane za vrednost pribavljenih i umanjene za vrednost otuđenih stalnih sredstava iz te grupe tokom godine. Vrednost otuđenih stalnih sredstava odgovara njihovoj nabavnoj vrednosti umanjenoj za pripadajući iznos poreske amortizacije svakog otuđenog sredstva.</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Za iznos naknadnih ulaganja, izvršenih na postojećim stalnim sredstvima, već razvrstanim u neku od amortizacionih grupa (od II do V), uvećava se saldo grupe u koju su ta sredstva razvrstana, počev od poreskog perioda u kome su naknadna ulaganja završena.</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Umanjenje na ime amortizacije na kraju godine oduzima se od salda grupe, a neotpisana vrednost predstavlja početni saldo grupe u narednoj godini.</w:t>
      </w:r>
    </w:p>
    <w:p w:rsidR="009A64F1" w:rsidRPr="009A64F1" w:rsidRDefault="009A64F1" w:rsidP="009A64F1">
      <w:pPr>
        <w:spacing w:before="100" w:beforeAutospacing="1" w:after="100" w:afterAutospacing="1" w:line="384" w:lineRule="auto"/>
        <w:jc w:val="center"/>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Član 4a</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Za stalna sredstva razvrstana u I grupu koja su stečena putem statusne promene, nabavna vrednost u tekućem poreskom periodu je neotpisana vrednost tih sredstava na dan statusne promene kod obveznika koji ih prenosi putem statusne promene, utvrđena na način da se nabavna vrednost tih sredstava umanjuje za pripadajući iznos poreske amortizacije svakog prenetog sredstva.</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lastRenderedPageBreak/>
        <w:t>Za stalna sredstva razvrstana u grupe od II do V, koja su stečena putem statusne promene, nabavna vrednost u tekućem poreskom periodu je neotpisana vrednost tih sredstava kod obveznika koji ih prenosi putem statusne promene, utvrđena na način da se pojedinačna vrednost tih sredstava umanjuje za pripadajući iznos poreske amortizacije koji se odnosi na svako sredstvo posebno.</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Za stalna sredstva razvrstana u grupe od II do V koja se u poreskom periodu prenose putem statusne promene, obveznik utvrđuje početni saldo grupe tako što iz salda grupe utvrđenog na kraju prethodnog poreskog perioda isključuje sredstva preneta putem statusne promene i to po nabavnoj vrednosti tih sredstava umanjenoj za pripadajući iznos poreske amortizacije tih sredstava.</w:t>
      </w:r>
    </w:p>
    <w:p w:rsidR="009A64F1" w:rsidRPr="009A64F1" w:rsidRDefault="009A64F1" w:rsidP="009A64F1">
      <w:pPr>
        <w:spacing w:before="100" w:beforeAutospacing="1" w:after="100" w:afterAutospacing="1" w:line="384" w:lineRule="auto"/>
        <w:jc w:val="center"/>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Član 5.</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Obračun amortizacije stalnih sredstava razvrstanih u grupe od II do V vrši se na Obrascu OA - Obračun amortizacije stalnih sredstava, koji je odštampan uz ovaj pravilnik i čini njegov sastavni deo.</w:t>
      </w:r>
    </w:p>
    <w:p w:rsidR="009A64F1" w:rsidRPr="009A64F1" w:rsidRDefault="009A64F1" w:rsidP="009A64F1">
      <w:pPr>
        <w:spacing w:before="100" w:beforeAutospacing="1" w:after="100" w:afterAutospacing="1" w:line="384" w:lineRule="auto"/>
        <w:jc w:val="center"/>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Član 6.</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Ako vrednost po osnovu otuđenja stalnih sredstava u toku poreske godine za grupe amortizacije od II do V prelazi saldo grupe, saldo grupe na kraju godine jednak je nuli.</w:t>
      </w:r>
    </w:p>
    <w:p w:rsidR="009A64F1" w:rsidRPr="009A64F1" w:rsidRDefault="009A64F1" w:rsidP="009A64F1">
      <w:pPr>
        <w:spacing w:before="100" w:beforeAutospacing="1" w:after="100" w:afterAutospacing="1" w:line="384" w:lineRule="auto"/>
        <w:jc w:val="center"/>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Član 7.</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Ako je krajnji saldo pojedine grupe amortizacije od II do V manji od pet prosečnih mesečnih bruto zarada isplaćenih po zaposlenom u Republici u poslednjem mesecu perioda za koji se vrši obračun amortizacije, prema objavljenom podatku republičkog organa nadležnog za poslove statistike, celokupan saldo te grupe priznaje se kao rashod amortizacije i saldo grupe jednak je nuli.</w:t>
      </w:r>
    </w:p>
    <w:p w:rsidR="009A64F1" w:rsidRPr="009A64F1" w:rsidRDefault="009A64F1" w:rsidP="009A64F1">
      <w:pPr>
        <w:spacing w:before="100" w:beforeAutospacing="1" w:after="100" w:afterAutospacing="1" w:line="384" w:lineRule="auto"/>
        <w:jc w:val="center"/>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Član 8.</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Ne obračunava se amortizacija za stalna sredstva koja se po propisima koji uređuju računovodstvo vode kao zalihe.</w:t>
      </w:r>
    </w:p>
    <w:p w:rsidR="009A64F1" w:rsidRPr="009A64F1" w:rsidRDefault="009A64F1" w:rsidP="009A64F1">
      <w:pPr>
        <w:spacing w:before="100" w:beforeAutospacing="1" w:after="100" w:afterAutospacing="1" w:line="384" w:lineRule="auto"/>
        <w:jc w:val="center"/>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Član 9.</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Osnovicu za amortizaciju stalnih sredstava na dan 1. januara 2004. godine kod pravnih lica koja primenjuju međunarodne računovodstvene standarde od 1. januara 2004. godine čini neotpisana vrednost stalnih sredstava utvrđena na dan 31. decembra 2003. godine, u skladu sa propisima o računovodstvu koji su se primenjivali na godišnje finansijske izveštaje za 2003. godinu.</w:t>
      </w:r>
    </w:p>
    <w:p w:rsidR="009A64F1" w:rsidRPr="009A64F1" w:rsidRDefault="009A64F1" w:rsidP="009A64F1">
      <w:pPr>
        <w:spacing w:before="100" w:beforeAutospacing="1" w:after="100" w:afterAutospacing="1" w:line="384" w:lineRule="auto"/>
        <w:jc w:val="center"/>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lastRenderedPageBreak/>
        <w:t>Član 10.</w:t>
      </w:r>
    </w:p>
    <w:p w:rsidR="009A64F1" w:rsidRPr="009A64F1" w:rsidRDefault="009A64F1" w:rsidP="009A64F1">
      <w:pPr>
        <w:spacing w:before="100" w:beforeAutospacing="1" w:after="100" w:afterAutospacing="1" w:line="384" w:lineRule="auto"/>
        <w:rPr>
          <w:rFonts w:eastAsia="Times New Roman" w:cs="Arial"/>
          <w:color w:val="666666"/>
          <w:sz w:val="21"/>
          <w:szCs w:val="21"/>
          <w:lang w:val="sr-Latn-RS" w:eastAsia="sl-SI"/>
        </w:rPr>
      </w:pPr>
      <w:r w:rsidRPr="009A64F1">
        <w:rPr>
          <w:rFonts w:eastAsia="Times New Roman" w:cs="Arial"/>
          <w:color w:val="666666"/>
          <w:sz w:val="21"/>
          <w:szCs w:val="21"/>
          <w:lang w:val="sr-Latn-RS" w:eastAsia="sl-SI"/>
        </w:rPr>
        <w:t>Ovaj pravilnik stupa na snagu narednog dana od dana objavljivanja u «Službenom glasniku Republike Srbije».</w:t>
      </w:r>
    </w:p>
    <w:p w:rsidR="00C26568" w:rsidRPr="009A64F1" w:rsidRDefault="00C26568">
      <w:pPr>
        <w:rPr>
          <w:lang w:val="sr-Latn-RS"/>
        </w:rPr>
      </w:pPr>
    </w:p>
    <w:sectPr w:rsidR="00C26568" w:rsidRPr="009A64F1" w:rsidSect="00C26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A64F1"/>
    <w:rsid w:val="009A64F1"/>
    <w:rsid w:val="00A05FC7"/>
    <w:rsid w:val="00C26568"/>
    <w:rsid w:val="00D65E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BF714-BD4A-4002-9A90-87896761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rsid w:val="00A05FC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05FC7"/>
    <w:pPr>
      <w:spacing w:after="0" w:line="240" w:lineRule="auto"/>
    </w:pPr>
  </w:style>
  <w:style w:type="paragraph" w:styleId="Navadensplet">
    <w:name w:val="Normal (Web)"/>
    <w:basedOn w:val="Navaden"/>
    <w:uiPriority w:val="99"/>
    <w:semiHidden/>
    <w:unhideWhenUsed/>
    <w:rsid w:val="009A64F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2878">
      <w:bodyDiv w:val="1"/>
      <w:marLeft w:val="0"/>
      <w:marRight w:val="0"/>
      <w:marTop w:val="0"/>
      <w:marBottom w:val="0"/>
      <w:divBdr>
        <w:top w:val="none" w:sz="0" w:space="0" w:color="auto"/>
        <w:left w:val="none" w:sz="0" w:space="0" w:color="auto"/>
        <w:bottom w:val="none" w:sz="0" w:space="0" w:color="auto"/>
        <w:right w:val="none" w:sz="0" w:space="0" w:color="auto"/>
      </w:divBdr>
      <w:divsChild>
        <w:div w:id="365059763">
          <w:marLeft w:val="0"/>
          <w:marRight w:val="0"/>
          <w:marTop w:val="0"/>
          <w:marBottom w:val="0"/>
          <w:divBdr>
            <w:top w:val="none" w:sz="0" w:space="0" w:color="auto"/>
            <w:left w:val="none" w:sz="0" w:space="0" w:color="auto"/>
            <w:bottom w:val="none" w:sz="0" w:space="0" w:color="auto"/>
            <w:right w:val="none" w:sz="0" w:space="0" w:color="auto"/>
          </w:divBdr>
          <w:divsChild>
            <w:div w:id="1190683148">
              <w:marLeft w:val="0"/>
              <w:marRight w:val="0"/>
              <w:marTop w:val="0"/>
              <w:marBottom w:val="0"/>
              <w:divBdr>
                <w:top w:val="none" w:sz="0" w:space="0" w:color="auto"/>
                <w:left w:val="none" w:sz="0" w:space="0" w:color="auto"/>
                <w:bottom w:val="none" w:sz="0" w:space="0" w:color="auto"/>
                <w:right w:val="none" w:sz="0" w:space="0" w:color="auto"/>
              </w:divBdr>
              <w:divsChild>
                <w:div w:id="1536651697">
                  <w:marLeft w:val="0"/>
                  <w:marRight w:val="0"/>
                  <w:marTop w:val="0"/>
                  <w:marBottom w:val="0"/>
                  <w:divBdr>
                    <w:top w:val="none" w:sz="0" w:space="0" w:color="auto"/>
                    <w:left w:val="none" w:sz="0" w:space="0" w:color="auto"/>
                    <w:bottom w:val="none" w:sz="0" w:space="0" w:color="auto"/>
                    <w:right w:val="none" w:sz="0" w:space="0" w:color="auto"/>
                  </w:divBdr>
                  <w:divsChild>
                    <w:div w:id="1153908676">
                      <w:marLeft w:val="0"/>
                      <w:marRight w:val="0"/>
                      <w:marTop w:val="0"/>
                      <w:marBottom w:val="0"/>
                      <w:divBdr>
                        <w:top w:val="none" w:sz="0" w:space="0" w:color="auto"/>
                        <w:left w:val="none" w:sz="0" w:space="0" w:color="auto"/>
                        <w:bottom w:val="none" w:sz="0" w:space="0" w:color="auto"/>
                        <w:right w:val="none" w:sz="0" w:space="0" w:color="auto"/>
                      </w:divBdr>
                      <w:divsChild>
                        <w:div w:id="934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5DEDD05EE2EB4E9205E944E2260BE0" ma:contentTypeVersion="0" ma:contentTypeDescription="Create a new document." ma:contentTypeScope="" ma:versionID="dc8429007697fca8f1c766acc6b8e9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B9827-12F0-4BE7-AE5B-D9A72CA60460}"/>
</file>

<file path=customXml/itemProps2.xml><?xml version="1.0" encoding="utf-8"?>
<ds:datastoreItem xmlns:ds="http://schemas.openxmlformats.org/officeDocument/2006/customXml" ds:itemID="{EA4E40C8-156B-490D-862A-96C5ECCE65EB}"/>
</file>

<file path=customXml/itemProps3.xml><?xml version="1.0" encoding="utf-8"?>
<ds:datastoreItem xmlns:ds="http://schemas.openxmlformats.org/officeDocument/2006/customXml" ds:itemID="{B3BF0307-8FEF-443E-B169-F43B8A29F433}"/>
</file>

<file path=docProps/app.xml><?xml version="1.0" encoding="utf-8"?>
<Properties xmlns="http://schemas.openxmlformats.org/officeDocument/2006/extended-properties" xmlns:vt="http://schemas.openxmlformats.org/officeDocument/2006/docPropsVTypes">
  <Template>Normal.dotm</Template>
  <TotalTime>1</TotalTime>
  <Pages>7</Pages>
  <Words>1266</Words>
  <Characters>7220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Lorenčič</dc:creator>
  <cp:keywords/>
  <dc:description/>
  <cp:lastModifiedBy>Milena Lorenčič</cp:lastModifiedBy>
  <cp:revision>1</cp:revision>
  <dcterms:created xsi:type="dcterms:W3CDTF">2016-09-27T06:25:00Z</dcterms:created>
  <dcterms:modified xsi:type="dcterms:W3CDTF">2016-09-27T06:26:00Z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0x010100BE5DEDD05EE2EB4E9205E944E2260BE0</vt:lpwstr>
  </property>
</Properties>
</file>